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2n988f69m9s7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Формат разработки по описанию опыта использования «зеленой аксиомы» в совместной ОД.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.Тема: 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Цель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Задачи из ФОП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 (их конкретизация с позиции «зеленых аксиом»)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Образовательные области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«Зеленая аксиома»: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- общая среда – общая судьба – общая ответственность;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- природа – род – Родина (сбережение культурного и природного наследия народов страны);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- культурное и природное разнообразие на Земле как основа устойчивого развития цивилизации; 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- учимся мудрости у природы (законы сложных нелинейных самоорганизующихся систем, принципы биосферосовместимого образа жизни, природоподобные технологии);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- мера изменения окружающей природной среды и учет дефицитных ресурсов.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Ценности по программе воспитания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Вводная часть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: создание образовательной ситуации.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Основная часть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: (материал: мультфильм, рассказ воспитателя, показ презентации, игры, работа с мнемотаблицами и т.д.) Выделение «зелёной аксиомы» и вывод на ценности.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9.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Практическая часть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: социальная акция, продукт детской деятельности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shd w:fill="cce4ff" w:val="clear"/>
          <w:rtl w:val="0"/>
        </w:rPr>
        <w:t xml:space="preserve">.Рефлексия: 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shd w:fill="cce4ff" w:val="clear"/>
          <w:rtl w:val="0"/>
        </w:rPr>
        <w:t xml:space="preserve">символ той ценности, на которую вывела «зелёная аксиома».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